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E39" w:rsidRPr="00135D57" w:rsidRDefault="00B46FAE" w:rsidP="00B46FAE">
      <w:pPr>
        <w:jc w:val="right"/>
        <w:rPr>
          <w:rFonts w:ascii="Calibri" w:hAnsi="Calibri" w:cs="Calibri"/>
          <w:b/>
          <w:sz w:val="32"/>
          <w:szCs w:val="32"/>
        </w:rPr>
      </w:pPr>
      <w:r w:rsidRPr="00135D57">
        <w:rPr>
          <w:rFonts w:ascii="Calibri" w:hAnsi="Calibri" w:cs="Calibri"/>
          <w:b/>
          <w:noProof/>
          <w:sz w:val="32"/>
          <w:szCs w:val="32"/>
          <w:lang w:eastAsia="en-GB"/>
        </w:rPr>
        <w:drawing>
          <wp:anchor distT="57150" distB="57150" distL="57150" distR="57150" simplePos="0" relativeHeight="251659264" behindDoc="0" locked="0" layoutInCell="1" allowOverlap="1">
            <wp:simplePos x="0" y="0"/>
            <wp:positionH relativeFrom="column">
              <wp:posOffset>-342900</wp:posOffset>
            </wp:positionH>
            <wp:positionV relativeFrom="line">
              <wp:posOffset>0</wp:posOffset>
            </wp:positionV>
            <wp:extent cx="1943100" cy="866775"/>
            <wp:effectExtent l="19050" t="0" r="0" b="0"/>
            <wp:wrapSquare wrapText="bothSides"/>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5" cstate="print"/>
                    <a:stretch>
                      <a:fillRect/>
                    </a:stretch>
                  </pic:blipFill>
                  <pic:spPr>
                    <a:xfrm>
                      <a:off x="0" y="0"/>
                      <a:ext cx="1943100" cy="866775"/>
                    </a:xfrm>
                    <a:prstGeom prst="rect">
                      <a:avLst/>
                    </a:prstGeom>
                    <a:ln w="12700" cap="flat">
                      <a:noFill/>
                      <a:miter lim="400000"/>
                    </a:ln>
                    <a:effectLst/>
                  </pic:spPr>
                </pic:pic>
              </a:graphicData>
            </a:graphic>
          </wp:anchor>
        </w:drawing>
      </w:r>
      <w:r w:rsidRPr="00135D57">
        <w:rPr>
          <w:rFonts w:ascii="Calibri" w:hAnsi="Calibri" w:cs="Calibri"/>
          <w:b/>
          <w:noProof/>
          <w:sz w:val="32"/>
          <w:szCs w:val="32"/>
          <w:lang w:eastAsia="en-GB"/>
        </w:rPr>
        <w:drawing>
          <wp:inline distT="0" distB="0" distL="0" distR="0">
            <wp:extent cx="971550" cy="971550"/>
            <wp:effectExtent l="19050" t="0" r="0" b="0"/>
            <wp:docPr id="1" name="Picture 0" descr="Log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png"/>
                    <pic:cNvPicPr/>
                  </pic:nvPicPr>
                  <pic:blipFill>
                    <a:blip r:embed="rId6" cstate="print"/>
                    <a:stretch>
                      <a:fillRect/>
                    </a:stretch>
                  </pic:blipFill>
                  <pic:spPr>
                    <a:xfrm>
                      <a:off x="0" y="0"/>
                      <a:ext cx="971858" cy="971858"/>
                    </a:xfrm>
                    <a:prstGeom prst="rect">
                      <a:avLst/>
                    </a:prstGeom>
                  </pic:spPr>
                </pic:pic>
              </a:graphicData>
            </a:graphic>
          </wp:inline>
        </w:drawing>
      </w:r>
    </w:p>
    <w:p w:rsidR="005D5E39" w:rsidRPr="00135D57" w:rsidRDefault="00B46FAE" w:rsidP="005D5E39">
      <w:pPr>
        <w:pStyle w:val="Body"/>
        <w:jc w:val="center"/>
        <w:rPr>
          <w:b/>
          <w:bCs/>
          <w:sz w:val="32"/>
          <w:szCs w:val="32"/>
        </w:rPr>
      </w:pPr>
      <w:r w:rsidRPr="00135D57">
        <w:rPr>
          <w:b/>
          <w:bCs/>
          <w:sz w:val="32"/>
          <w:szCs w:val="32"/>
        </w:rPr>
        <w:t xml:space="preserve">Ascension Church, </w:t>
      </w:r>
      <w:r w:rsidR="005D5E39" w:rsidRPr="00135D57">
        <w:rPr>
          <w:b/>
          <w:bCs/>
          <w:sz w:val="32"/>
          <w:szCs w:val="32"/>
        </w:rPr>
        <w:t xml:space="preserve">Haywards Heath </w:t>
      </w:r>
    </w:p>
    <w:p w:rsidR="005D5E39" w:rsidRPr="00135D57" w:rsidRDefault="005D5E39" w:rsidP="005D5E39">
      <w:pPr>
        <w:pStyle w:val="Body"/>
        <w:jc w:val="center"/>
        <w:rPr>
          <w:sz w:val="22"/>
          <w:szCs w:val="22"/>
        </w:rPr>
      </w:pPr>
      <w:r w:rsidRPr="00135D57">
        <w:rPr>
          <w:sz w:val="22"/>
          <w:szCs w:val="22"/>
        </w:rPr>
        <w:t>Freely you have received, freely give. Matt 10:8</w:t>
      </w:r>
    </w:p>
    <w:p w:rsidR="005D5E39" w:rsidRPr="00135D57" w:rsidRDefault="005D5E39" w:rsidP="005D5E39">
      <w:pPr>
        <w:spacing w:after="0"/>
        <w:jc w:val="center"/>
        <w:rPr>
          <w:rFonts w:ascii="Calibri" w:hAnsi="Calibri" w:cs="Calibri"/>
          <w:b/>
          <w:sz w:val="32"/>
          <w:szCs w:val="32"/>
        </w:rPr>
      </w:pPr>
    </w:p>
    <w:p w:rsidR="00135D57" w:rsidRPr="00135D57" w:rsidRDefault="00135D57" w:rsidP="005D5E39">
      <w:pPr>
        <w:spacing w:after="0"/>
        <w:jc w:val="center"/>
        <w:rPr>
          <w:rFonts w:ascii="Calibri" w:hAnsi="Calibri" w:cs="Calibri"/>
          <w:b/>
          <w:sz w:val="32"/>
          <w:szCs w:val="32"/>
        </w:rPr>
      </w:pPr>
      <w:r w:rsidRPr="00135D57">
        <w:rPr>
          <w:rFonts w:ascii="Calibri" w:hAnsi="Calibri" w:cs="Calibri"/>
          <w:b/>
          <w:sz w:val="32"/>
          <w:szCs w:val="32"/>
        </w:rPr>
        <w:t>Conflict of Interest</w:t>
      </w:r>
      <w:r w:rsidR="00BE5306">
        <w:rPr>
          <w:rFonts w:ascii="Calibri" w:hAnsi="Calibri" w:cs="Calibri"/>
          <w:b/>
          <w:sz w:val="32"/>
          <w:szCs w:val="32"/>
        </w:rPr>
        <w:t>s</w:t>
      </w:r>
      <w:r w:rsidRPr="00135D57">
        <w:rPr>
          <w:rFonts w:ascii="Calibri" w:hAnsi="Calibri" w:cs="Calibri"/>
          <w:b/>
          <w:sz w:val="32"/>
          <w:szCs w:val="32"/>
        </w:rPr>
        <w:t xml:space="preserve"> Policy</w:t>
      </w:r>
    </w:p>
    <w:p w:rsidR="00135D57" w:rsidRPr="00135D57" w:rsidRDefault="00135D57" w:rsidP="005D5E39">
      <w:pPr>
        <w:spacing w:after="0"/>
        <w:jc w:val="center"/>
        <w:rPr>
          <w:rFonts w:ascii="Calibri" w:hAnsi="Calibri" w:cs="Calibri"/>
          <w:b/>
          <w:sz w:val="32"/>
          <w:szCs w:val="32"/>
        </w:rPr>
      </w:pPr>
    </w:p>
    <w:p w:rsidR="00135D57" w:rsidRPr="00135D57" w:rsidRDefault="00135D57" w:rsidP="00135D57">
      <w:pPr>
        <w:numPr>
          <w:ilvl w:val="0"/>
          <w:numId w:val="2"/>
        </w:numPr>
        <w:autoSpaceDE w:val="0"/>
        <w:autoSpaceDN w:val="0"/>
        <w:adjustRightInd w:val="0"/>
        <w:spacing w:after="120" w:line="240" w:lineRule="auto"/>
        <w:ind w:left="360"/>
        <w:jc w:val="both"/>
        <w:rPr>
          <w:rFonts w:ascii="Calibri" w:hAnsi="Calibri"/>
        </w:rPr>
      </w:pPr>
      <w:r w:rsidRPr="00135D57">
        <w:rPr>
          <w:rFonts w:ascii="Calibri" w:hAnsi="Calibri" w:cs="Arial"/>
        </w:rPr>
        <w:t>This policy applies to all members of the PCC, the Standing Committee and any other committees or working parties set up by the PCC.</w:t>
      </w:r>
    </w:p>
    <w:p w:rsidR="00135D57" w:rsidRPr="00135D57" w:rsidRDefault="00135D57" w:rsidP="00135D57">
      <w:pPr>
        <w:numPr>
          <w:ilvl w:val="0"/>
          <w:numId w:val="2"/>
        </w:numPr>
        <w:autoSpaceDE w:val="0"/>
        <w:autoSpaceDN w:val="0"/>
        <w:adjustRightInd w:val="0"/>
        <w:spacing w:after="0" w:line="240" w:lineRule="auto"/>
        <w:ind w:left="360"/>
        <w:jc w:val="both"/>
        <w:rPr>
          <w:rFonts w:ascii="Calibri" w:hAnsi="Calibri"/>
        </w:rPr>
      </w:pPr>
      <w:r w:rsidRPr="00135D57">
        <w:rPr>
          <w:rFonts w:ascii="Calibri" w:hAnsi="Calibri"/>
        </w:rPr>
        <w:t>A conflict of interest</w:t>
      </w:r>
      <w:r w:rsidR="00BE5306">
        <w:rPr>
          <w:rFonts w:ascii="Calibri" w:hAnsi="Calibri"/>
        </w:rPr>
        <w:t>s</w:t>
      </w:r>
      <w:r w:rsidRPr="00135D57">
        <w:rPr>
          <w:rFonts w:ascii="Calibri" w:hAnsi="Calibri"/>
        </w:rPr>
        <w:t xml:space="preserve"> is any situation in which a member’s personal interests or loyalties could prevent, or could be seen to prevent, the member from making a decision only in the best interests of the PCC.  Such a situation may arise either:</w:t>
      </w:r>
    </w:p>
    <w:p w:rsidR="00135D57" w:rsidRPr="00135D57" w:rsidRDefault="00135D57" w:rsidP="00135D57">
      <w:pPr>
        <w:pStyle w:val="BodyText"/>
        <w:numPr>
          <w:ilvl w:val="1"/>
          <w:numId w:val="2"/>
        </w:numPr>
        <w:tabs>
          <w:tab w:val="clear" w:pos="204"/>
          <w:tab w:val="left" w:pos="426"/>
        </w:tabs>
        <w:ind w:left="1080"/>
        <w:rPr>
          <w:rFonts w:ascii="Calibri" w:hAnsi="Calibri"/>
          <w:szCs w:val="22"/>
        </w:rPr>
      </w:pPr>
      <w:r w:rsidRPr="00135D57">
        <w:rPr>
          <w:rFonts w:ascii="Calibri" w:hAnsi="Calibri"/>
          <w:szCs w:val="22"/>
        </w:rPr>
        <w:t>where there is a potential financial benefit to a member, whether directly or indirectly through a connected person (such as a close family member or business partner); or</w:t>
      </w:r>
    </w:p>
    <w:p w:rsidR="00135D57" w:rsidRPr="00135D57" w:rsidRDefault="00135D57" w:rsidP="00135D57">
      <w:pPr>
        <w:pStyle w:val="BodyText"/>
        <w:numPr>
          <w:ilvl w:val="1"/>
          <w:numId w:val="2"/>
        </w:numPr>
        <w:tabs>
          <w:tab w:val="clear" w:pos="204"/>
          <w:tab w:val="left" w:pos="426"/>
        </w:tabs>
        <w:spacing w:after="120"/>
        <w:ind w:left="1080"/>
        <w:rPr>
          <w:rFonts w:ascii="Calibri" w:hAnsi="Calibri"/>
          <w:szCs w:val="22"/>
        </w:rPr>
      </w:pPr>
      <w:r w:rsidRPr="00135D57">
        <w:rPr>
          <w:rFonts w:ascii="Calibri" w:hAnsi="Calibri"/>
          <w:szCs w:val="22"/>
        </w:rPr>
        <w:t>where a member’s duty to the PCC may compete with a duty of loyalty he or she owes to another organi</w:t>
      </w:r>
      <w:r>
        <w:rPr>
          <w:rFonts w:ascii="Calibri" w:hAnsi="Calibri"/>
          <w:szCs w:val="22"/>
        </w:rPr>
        <w:t>s</w:t>
      </w:r>
      <w:r w:rsidRPr="00135D57">
        <w:rPr>
          <w:rFonts w:ascii="Calibri" w:hAnsi="Calibri"/>
          <w:szCs w:val="22"/>
        </w:rPr>
        <w:t>ation or person (e.g. by virtue of being a trustee or committee member of a body which has an interest in the matter).</w:t>
      </w:r>
    </w:p>
    <w:p w:rsidR="00135D57" w:rsidRPr="00135D57" w:rsidRDefault="00135D57" w:rsidP="00135D57">
      <w:pPr>
        <w:numPr>
          <w:ilvl w:val="0"/>
          <w:numId w:val="2"/>
        </w:numPr>
        <w:autoSpaceDE w:val="0"/>
        <w:autoSpaceDN w:val="0"/>
        <w:adjustRightInd w:val="0"/>
        <w:spacing w:after="120" w:line="240" w:lineRule="auto"/>
        <w:ind w:left="360"/>
        <w:jc w:val="both"/>
        <w:rPr>
          <w:rFonts w:ascii="Calibri" w:hAnsi="Calibri"/>
        </w:rPr>
      </w:pPr>
      <w:r w:rsidRPr="00135D57">
        <w:rPr>
          <w:rFonts w:ascii="Calibri" w:hAnsi="Calibri" w:cs="Arial"/>
        </w:rPr>
        <w:t>It is desirable that any conflicts of interest</w:t>
      </w:r>
      <w:r w:rsidR="00BE5306">
        <w:rPr>
          <w:rFonts w:ascii="Calibri" w:hAnsi="Calibri" w:cs="Arial"/>
        </w:rPr>
        <w:t>s</w:t>
      </w:r>
      <w:r w:rsidRPr="00135D57">
        <w:rPr>
          <w:rFonts w:ascii="Calibri" w:hAnsi="Calibri" w:cs="Arial"/>
        </w:rPr>
        <w:t xml:space="preserve"> are declared to the Chair of the meeting as soon as the agenda is circulated.  They must also be declared at the meeting when the relevant agenda item is reached.</w:t>
      </w:r>
    </w:p>
    <w:p w:rsidR="00135D57" w:rsidRPr="00135D57" w:rsidRDefault="00135D57" w:rsidP="00135D57">
      <w:pPr>
        <w:pStyle w:val="BodyText"/>
        <w:numPr>
          <w:ilvl w:val="0"/>
          <w:numId w:val="2"/>
        </w:numPr>
        <w:tabs>
          <w:tab w:val="clear" w:pos="204"/>
          <w:tab w:val="left" w:pos="426"/>
        </w:tabs>
        <w:spacing w:after="120"/>
        <w:ind w:left="360"/>
        <w:rPr>
          <w:rFonts w:ascii="Calibri" w:hAnsi="Calibri"/>
          <w:szCs w:val="22"/>
        </w:rPr>
      </w:pPr>
      <w:r w:rsidRPr="00135D57">
        <w:rPr>
          <w:rFonts w:ascii="Calibri" w:hAnsi="Calibri"/>
          <w:szCs w:val="22"/>
        </w:rPr>
        <w:t>Subject to 6</w:t>
      </w:r>
      <w:r>
        <w:rPr>
          <w:rFonts w:ascii="Calibri" w:hAnsi="Calibri"/>
          <w:szCs w:val="22"/>
        </w:rPr>
        <w:t xml:space="preserve"> below</w:t>
      </w:r>
      <w:r w:rsidRPr="00135D57">
        <w:rPr>
          <w:rFonts w:ascii="Calibri" w:hAnsi="Calibri"/>
          <w:szCs w:val="22"/>
        </w:rPr>
        <w:t>, where a conflict of interest</w:t>
      </w:r>
      <w:r w:rsidR="00BE5306">
        <w:rPr>
          <w:rFonts w:ascii="Calibri" w:hAnsi="Calibri"/>
          <w:szCs w:val="22"/>
        </w:rPr>
        <w:t>s</w:t>
      </w:r>
      <w:r w:rsidRPr="00135D57">
        <w:rPr>
          <w:rFonts w:ascii="Calibri" w:hAnsi="Calibri"/>
          <w:szCs w:val="22"/>
        </w:rPr>
        <w:t xml:space="preserve"> arises in connection with a personal benefit, the member concerned must withdraw from the meeting and not take part in any discussions relating to it (including discussions for the purpose of obtaining any authority from the Charity Commission that would</w:t>
      </w:r>
      <w:r>
        <w:rPr>
          <w:rFonts w:ascii="Calibri" w:hAnsi="Calibri"/>
          <w:szCs w:val="22"/>
        </w:rPr>
        <w:t xml:space="preserve"> be required to authoris</w:t>
      </w:r>
      <w:r w:rsidRPr="00135D57">
        <w:rPr>
          <w:rFonts w:ascii="Calibri" w:hAnsi="Calibri"/>
          <w:szCs w:val="22"/>
        </w:rPr>
        <w:t xml:space="preserve">e the benefit – </w:t>
      </w:r>
      <w:r w:rsidRPr="00135D57">
        <w:rPr>
          <w:rFonts w:ascii="Calibri" w:hAnsi="Calibri" w:cs="Arial"/>
          <w:szCs w:val="22"/>
        </w:rPr>
        <w:t xml:space="preserve">see the </w:t>
      </w:r>
      <w:r w:rsidRPr="00135D57">
        <w:rPr>
          <w:rFonts w:ascii="Calibri" w:hAnsi="Calibri" w:cs="Arial"/>
          <w:i/>
          <w:szCs w:val="22"/>
        </w:rPr>
        <w:t>Guidance Note:  PCC members and private benefit</w:t>
      </w:r>
      <w:r w:rsidRPr="00135D57">
        <w:rPr>
          <w:rFonts w:ascii="Calibri" w:hAnsi="Calibri"/>
          <w:szCs w:val="22"/>
        </w:rPr>
        <w:t>).</w:t>
      </w:r>
    </w:p>
    <w:p w:rsidR="00135D57" w:rsidRPr="00135D57" w:rsidRDefault="00135D57" w:rsidP="00135D57">
      <w:pPr>
        <w:pStyle w:val="BodyText"/>
        <w:numPr>
          <w:ilvl w:val="0"/>
          <w:numId w:val="2"/>
        </w:numPr>
        <w:tabs>
          <w:tab w:val="clear" w:pos="204"/>
          <w:tab w:val="left" w:pos="426"/>
        </w:tabs>
        <w:spacing w:after="120"/>
        <w:ind w:left="360"/>
        <w:rPr>
          <w:rFonts w:ascii="Calibri" w:hAnsi="Calibri"/>
          <w:szCs w:val="22"/>
        </w:rPr>
      </w:pPr>
      <w:r w:rsidRPr="00135D57">
        <w:rPr>
          <w:rFonts w:ascii="Calibri" w:hAnsi="Calibri"/>
          <w:szCs w:val="22"/>
        </w:rPr>
        <w:t>Subject to 6</w:t>
      </w:r>
      <w:r w:rsidR="00C1307D">
        <w:rPr>
          <w:rFonts w:ascii="Calibri" w:hAnsi="Calibri"/>
          <w:szCs w:val="22"/>
        </w:rPr>
        <w:t xml:space="preserve"> below</w:t>
      </w:r>
      <w:r w:rsidRPr="00135D57">
        <w:rPr>
          <w:rFonts w:ascii="Calibri" w:hAnsi="Calibri"/>
          <w:szCs w:val="22"/>
        </w:rPr>
        <w:t>, where a conflict of loyalty arises, the PCC will consider what level of participation, if any, is acceptable on the part of the conflicted member, having regard to the duty to act in the best interests of the PCC. However, the normal expectation will be that the conflicted member should withdraw from the meeting during discussion of the item of business in question.</w:t>
      </w:r>
    </w:p>
    <w:p w:rsidR="00135D57" w:rsidRPr="00135D57" w:rsidRDefault="00135D57" w:rsidP="00135D57">
      <w:pPr>
        <w:pStyle w:val="BodyText"/>
        <w:numPr>
          <w:ilvl w:val="0"/>
          <w:numId w:val="2"/>
        </w:numPr>
        <w:tabs>
          <w:tab w:val="clear" w:pos="204"/>
          <w:tab w:val="left" w:pos="426"/>
        </w:tabs>
        <w:spacing w:after="120"/>
        <w:ind w:left="360"/>
        <w:rPr>
          <w:rFonts w:ascii="Calibri" w:hAnsi="Calibri"/>
          <w:szCs w:val="22"/>
        </w:rPr>
      </w:pPr>
      <w:r w:rsidRPr="00135D57">
        <w:rPr>
          <w:rFonts w:ascii="Calibri" w:hAnsi="Calibri"/>
          <w:szCs w:val="22"/>
        </w:rPr>
        <w:t xml:space="preserve">A member need not withdraw from a meeting if </w:t>
      </w:r>
      <w:r w:rsidR="00BE5306">
        <w:rPr>
          <w:rFonts w:ascii="Calibri" w:hAnsi="Calibri"/>
          <w:szCs w:val="22"/>
        </w:rPr>
        <w:t>their</w:t>
      </w:r>
      <w:r w:rsidRPr="00135D57">
        <w:rPr>
          <w:rFonts w:ascii="Calibri" w:hAnsi="Calibri"/>
          <w:szCs w:val="22"/>
        </w:rPr>
        <w:t xml:space="preserve"> interest (whether financial or non-financial) is common to a class of persons and is neither (i) significant nor (ii) substantially greater than the interests of other members of that class.</w:t>
      </w:r>
    </w:p>
    <w:p w:rsidR="00135D57" w:rsidRPr="00E13522" w:rsidRDefault="00135D57" w:rsidP="00135D57">
      <w:pPr>
        <w:numPr>
          <w:ilvl w:val="0"/>
          <w:numId w:val="2"/>
        </w:numPr>
        <w:autoSpaceDE w:val="0"/>
        <w:autoSpaceDN w:val="0"/>
        <w:adjustRightInd w:val="0"/>
        <w:spacing w:after="0" w:line="240" w:lineRule="auto"/>
        <w:ind w:left="360"/>
        <w:jc w:val="both"/>
        <w:rPr>
          <w:rFonts w:ascii="Calibri" w:hAnsi="Calibri"/>
        </w:rPr>
      </w:pPr>
      <w:r w:rsidRPr="00135D57">
        <w:rPr>
          <w:rFonts w:ascii="Calibri" w:hAnsi="Calibri" w:cs="Arial"/>
        </w:rPr>
        <w:t>The existence of a conflict of interest</w:t>
      </w:r>
      <w:r w:rsidR="00BE5306">
        <w:rPr>
          <w:rFonts w:ascii="Calibri" w:hAnsi="Calibri" w:cs="Arial"/>
        </w:rPr>
        <w:t>s</w:t>
      </w:r>
      <w:r w:rsidRPr="00135D57">
        <w:rPr>
          <w:rFonts w:ascii="Calibri" w:hAnsi="Calibri" w:cs="Arial"/>
        </w:rPr>
        <w:t xml:space="preserve"> must be recorded in the minutes, together with the decision as to how it should be dealt with.</w:t>
      </w:r>
    </w:p>
    <w:p w:rsidR="00E13522" w:rsidRDefault="00E13522" w:rsidP="00E13522">
      <w:pPr>
        <w:autoSpaceDE w:val="0"/>
        <w:autoSpaceDN w:val="0"/>
        <w:adjustRightInd w:val="0"/>
        <w:spacing w:after="0" w:line="240" w:lineRule="auto"/>
        <w:jc w:val="both"/>
        <w:rPr>
          <w:rFonts w:ascii="Calibri" w:hAnsi="Calibri" w:cs="Arial"/>
        </w:rPr>
      </w:pPr>
    </w:p>
    <w:p w:rsidR="00E13522" w:rsidRPr="00135D57" w:rsidRDefault="00E13522" w:rsidP="00E13522">
      <w:pPr>
        <w:autoSpaceDE w:val="0"/>
        <w:autoSpaceDN w:val="0"/>
        <w:adjustRightInd w:val="0"/>
        <w:spacing w:after="0" w:line="240" w:lineRule="auto"/>
        <w:jc w:val="right"/>
        <w:rPr>
          <w:rFonts w:ascii="Calibri" w:hAnsi="Calibri"/>
        </w:rPr>
      </w:pPr>
      <w:r>
        <w:rPr>
          <w:rFonts w:ascii="Calibri" w:hAnsi="Calibri" w:cs="Arial"/>
        </w:rPr>
        <w:t>Approved 16</w:t>
      </w:r>
      <w:r w:rsidRPr="00E13522">
        <w:rPr>
          <w:rFonts w:ascii="Calibri" w:hAnsi="Calibri" w:cs="Arial"/>
          <w:vertAlign w:val="superscript"/>
        </w:rPr>
        <w:t>th</w:t>
      </w:r>
      <w:r>
        <w:rPr>
          <w:rFonts w:ascii="Calibri" w:hAnsi="Calibri" w:cs="Arial"/>
        </w:rPr>
        <w:t xml:space="preserve"> June 2026</w:t>
      </w:r>
    </w:p>
    <w:sectPr w:rsidR="00E13522" w:rsidRPr="00135D57" w:rsidSect="001B16A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AE315B"/>
    <w:multiLevelType w:val="hybridMultilevel"/>
    <w:tmpl w:val="D3E8F996"/>
    <w:lvl w:ilvl="0" w:tplc="0809000F">
      <w:start w:val="1"/>
      <w:numFmt w:val="decimal"/>
      <w:lvlText w:val="%1."/>
      <w:lvlJc w:val="left"/>
      <w:pPr>
        <w:ind w:left="720" w:hanging="360"/>
      </w:pPr>
    </w:lvl>
    <w:lvl w:ilvl="1" w:tplc="7E6C651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9B057DB"/>
    <w:multiLevelType w:val="hybridMultilevel"/>
    <w:tmpl w:val="6EF62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oNotTrackFormatting/>
  <w:defaultTabStop w:val="720"/>
  <w:characterSpacingControl w:val="doNotCompress"/>
  <w:compat/>
  <w:rsids>
    <w:rsidRoot w:val="005D5E39"/>
    <w:rsid w:val="00002300"/>
    <w:rsid w:val="00135D57"/>
    <w:rsid w:val="001706EB"/>
    <w:rsid w:val="001B16A9"/>
    <w:rsid w:val="00207D9C"/>
    <w:rsid w:val="00291D4B"/>
    <w:rsid w:val="00365314"/>
    <w:rsid w:val="00436EC0"/>
    <w:rsid w:val="005D5E39"/>
    <w:rsid w:val="007D3D8B"/>
    <w:rsid w:val="00841CC0"/>
    <w:rsid w:val="008A13E2"/>
    <w:rsid w:val="00AE20E3"/>
    <w:rsid w:val="00B12CFC"/>
    <w:rsid w:val="00B46FAE"/>
    <w:rsid w:val="00BE5306"/>
    <w:rsid w:val="00C1307D"/>
    <w:rsid w:val="00D61D86"/>
    <w:rsid w:val="00DA6EB8"/>
    <w:rsid w:val="00DF058D"/>
    <w:rsid w:val="00E13522"/>
    <w:rsid w:val="00E351E4"/>
    <w:rsid w:val="00FA556C"/>
    <w:rsid w:val="00FE3F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6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E39"/>
    <w:pPr>
      <w:ind w:left="720"/>
      <w:contextualSpacing/>
    </w:pPr>
  </w:style>
  <w:style w:type="paragraph" w:customStyle="1" w:styleId="Body">
    <w:name w:val="Body"/>
    <w:rsid w:val="005D5E39"/>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eastAsia="en-GB"/>
    </w:rPr>
  </w:style>
  <w:style w:type="paragraph" w:styleId="BalloonText">
    <w:name w:val="Balloon Text"/>
    <w:basedOn w:val="Normal"/>
    <w:link w:val="BalloonTextChar"/>
    <w:uiPriority w:val="99"/>
    <w:semiHidden/>
    <w:unhideWhenUsed/>
    <w:rsid w:val="00B46F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FAE"/>
    <w:rPr>
      <w:rFonts w:ascii="Tahoma" w:hAnsi="Tahoma" w:cs="Tahoma"/>
      <w:sz w:val="16"/>
      <w:szCs w:val="16"/>
    </w:rPr>
  </w:style>
  <w:style w:type="paragraph" w:styleId="BodyText">
    <w:name w:val="Body Text"/>
    <w:basedOn w:val="Normal"/>
    <w:link w:val="BodyTextChar"/>
    <w:rsid w:val="00135D57"/>
    <w:pPr>
      <w:tabs>
        <w:tab w:val="left" w:pos="204"/>
      </w:tabs>
      <w:spacing w:after="0" w:line="277" w:lineRule="exact"/>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135D57"/>
    <w:rPr>
      <w:rFonts w:ascii="Times New Roman" w:eastAsia="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Cole</dc:creator>
  <cp:lastModifiedBy>David Cole</cp:lastModifiedBy>
  <cp:revision>5</cp:revision>
  <dcterms:created xsi:type="dcterms:W3CDTF">2026-06-05T07:07:00Z</dcterms:created>
  <dcterms:modified xsi:type="dcterms:W3CDTF">2026-06-09T15:20:00Z</dcterms:modified>
</cp:coreProperties>
</file>